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b/>
          <w:bCs/>
          <w:color w:val="1A1A2E"/>
          <w:sz w:val="44"/>
          <w:szCs w:val="44"/>
        </w:rPr>
        <w:t xml:space="preserve">Условия сотрудничества</w:t>
      </w:r>
    </w:p>
    <w:p>
      <w:pPr>
        <w:spacing w:after="300"/>
        <w:jc w:val="center"/>
      </w:pPr>
      <w:r>
        <w:rPr>
          <w:i/>
          <w:iCs/>
          <w:color w:val="555555"/>
          <w:sz w:val="22"/>
          <w:szCs w:val="22"/>
        </w:rPr>
        <w:t xml:space="preserve">Прозрачные и долгосрочные партнёрские отношения</w:t>
      </w:r>
    </w:p>
    <w:p>
      <w:pPr>
        <w:spacing w:after="200"/>
      </w:pPr>
      <w:r>
        <w:rPr>
          <w:sz w:val="22"/>
          <w:szCs w:val="22"/>
        </w:rPr>
        <w:t xml:space="preserve">ООО «Энергоальянс ДВ» заинтересовано в долгосрочном и взаимовыгодном сотрудничестве с надёжными поставщиками. Мы выстраиваем прозрачные отношения, основанные на качестве, стабильности поставок и своевременной оплате.</w:t>
      </w:r>
    </w:p>
    <w:p>
      <w:pPr>
        <w:pStyle w:val="Heading1"/>
      </w:pPr>
      <w:r>
        <w:t xml:space="preserve">Основные принципы сотрудничества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Качество продукции</w:t>
      </w:r>
      <w:r>
        <w:t xml:space="preserve"> — соответствие ГОСТ, ТУ и внутренним стандартам компании.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Стабильность поставок</w:t>
      </w:r>
      <w:r>
        <w:t xml:space="preserve"> — соблюдение согласованных сроков и объёмов.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Прозрачные условия</w:t>
      </w:r>
      <w:r>
        <w:t xml:space="preserve"> — чёткие договоры без скрытых требований.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Своевременная оплата</w:t>
      </w:r>
      <w:r>
        <w:t xml:space="preserve"> — строгое соблюдение платёжной дисциплины.</w:t>
      </w:r>
    </w:p>
    <w:p>
      <w:pPr>
        <w:pStyle w:val="ListParagraph"/>
        <w:numPr>
          <w:ilvl w:val="0"/>
          <w:numId w:val="2"/>
        </w:numPr>
        <w:spacing w:after="200"/>
      </w:pPr>
      <w:r>
        <w:rPr>
          <w:b/>
          <w:bCs/>
        </w:rPr>
        <w:t xml:space="preserve">Долгосрочное партнёрство</w:t>
      </w:r>
      <w:r>
        <w:t xml:space="preserve"> — приоритет проверенным поставщикам.</w:t>
      </w:r>
    </w:p>
    <w:p>
      <w:pPr>
        <w:pStyle w:val="Heading1"/>
      </w:pPr>
      <w:r>
        <w:t xml:space="preserve">Порядок работы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Подача заявки.</w:t>
      </w:r>
      <w:r>
        <w:t xml:space="preserve"> Заполните форму на сайте или отправьте коммерческое предложение.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Рассмотрение.</w:t>
      </w:r>
      <w:r>
        <w:t xml:space="preserve"> Отдел закупок изучает предложение в течение 3–5 рабочих дней.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Проверка документов.</w:t>
      </w:r>
      <w:r>
        <w:t xml:space="preserve"> Предоставление сертификатов, реквизитов и других необходимых документов.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Согласование условий.</w:t>
      </w:r>
      <w:r>
        <w:t xml:space="preserve"> Обсуждение цен, объёмов, сроков и логистики.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Подписание договора.</w:t>
      </w:r>
      <w:r>
        <w:t xml:space="preserve"> Заключение договора поставки на прозрачных условиях.</w:t>
      </w:r>
    </w:p>
    <w:p>
      <w:pPr>
        <w:pStyle w:val="ListParagraph"/>
        <w:numPr>
          <w:ilvl w:val="0"/>
          <w:numId w:val="3"/>
        </w:numPr>
        <w:spacing w:after="200"/>
      </w:pPr>
      <w:r>
        <w:rPr>
          <w:b/>
          <w:bCs/>
        </w:rPr>
        <w:t xml:space="preserve">Начало поставок.</w:t>
      </w:r>
      <w:r>
        <w:t xml:space="preserve"> Выполнение обязательств и получение оплаты.</w:t>
      </w:r>
    </w:p>
    <w:p>
      <w:pPr>
        <w:pStyle w:val="Heading1"/>
      </w:pPr>
      <w:r>
        <w:t xml:space="preserve">Условия оплаты</w:t>
      </w:r>
    </w:p>
    <w:p>
      <w:pPr>
        <w:spacing w:after="120"/>
      </w:pPr>
      <w:r>
        <w:t xml:space="preserve">Стандартный срок оплаты — 10–15 банковских дней после подписания акта приёмки-передачи товара. Возможны иные варианты (включая предоплату) по согласованию сторон.</w:t>
      </w:r>
    </w:p>
    <w:p>
      <w:pPr>
        <w:pStyle w:val="ListParagraph"/>
        <w:numPr>
          <w:ilvl w:val="0"/>
          <w:numId w:val="2"/>
        </w:numPr>
      </w:pPr>
      <w:r>
        <w:t xml:space="preserve">Оплата по факту поставки и приёмки</w:t>
      </w:r>
    </w:p>
    <w:p>
      <w:pPr>
        <w:pStyle w:val="ListParagraph"/>
        <w:numPr>
          <w:ilvl w:val="0"/>
          <w:numId w:val="2"/>
        </w:numPr>
      </w:pPr>
      <w:r>
        <w:t xml:space="preserve">Предоплата (для новых поставщиков или крупных партий)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Отсрочка платежа (для проверенных долгосрочных партнёров)</w:t>
      </w:r>
    </w:p>
    <w:p>
      <w:pPr>
        <w:pStyle w:val="Heading1"/>
      </w:pPr>
      <w:r>
        <w:t xml:space="preserve">Логистика и поставка</w:t>
      </w:r>
    </w:p>
    <w:p>
      <w:pPr>
        <w:spacing w:after="120"/>
      </w:pPr>
      <w:r>
        <w:t xml:space="preserve">Поставка осуществляется на склад ООО «Энергоальянс ДВ» или по согласованному адресу. Возможны следующие варианты:</w:t>
      </w:r>
    </w:p>
    <w:p>
      <w:pPr>
        <w:pStyle w:val="ListParagraph"/>
        <w:numPr>
          <w:ilvl w:val="0"/>
          <w:numId w:val="2"/>
        </w:numPr>
      </w:pPr>
      <w:r>
        <w:t xml:space="preserve">Самовывоз со склада поставщика</w:t>
      </w:r>
    </w:p>
    <w:p>
      <w:pPr>
        <w:pStyle w:val="ListParagraph"/>
        <w:numPr>
          <w:ilvl w:val="0"/>
          <w:numId w:val="2"/>
        </w:numPr>
      </w:pPr>
      <w:r>
        <w:t xml:space="preserve">Доставка транспортом поставщика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Доставка силами сторонней транспортной компании</w:t>
      </w:r>
    </w:p>
    <w:p>
      <w:pPr>
        <w:pStyle w:val="Heading1"/>
      </w:pPr>
      <w:r>
        <w:t xml:space="preserve">Контроль качества</w:t>
      </w:r>
    </w:p>
    <w:p>
      <w:pPr>
        <w:spacing w:after="120"/>
      </w:pPr>
      <w:r>
        <w:t xml:space="preserve">Все поступающие материалы и комплектующие проходят входной контроль. При обнаружении несоответствия качества или комплектности поставщик обязуется оперативно заменить брак или компенсировать убытки в соответствии с договором.</w:t>
      </w:r>
    </w:p>
    <w:p>
      <w:pPr>
        <w:pStyle w:val="Heading1"/>
      </w:pPr>
      <w:r>
        <w:t xml:space="preserve">Ответственность сторон</w:t>
      </w:r>
    </w:p>
    <w:p>
      <w:pPr>
        <w:spacing w:after="120"/>
      </w:pPr>
      <w:r>
        <w:t xml:space="preserve">Стороны несут ответственность за неисполнение или ненадлежащее исполнение обязательств в соответствии с договором и действующим законодательством РФ. Штрафные санкции и порядок претензионной работы прописываются в договоре.</w:t>
      </w:r>
    </w:p>
    <w:p>
      <w:pPr>
        <w:pStyle w:val="Heading1"/>
      </w:pPr>
      <w:r>
        <w:t xml:space="preserve">Часто задаваемые вопросы</w:t>
      </w:r>
    </w:p>
    <w:p>
      <w:pPr>
        <w:spacing w:after="60" w:before="160"/>
      </w:pPr>
      <w:r>
        <w:rPr>
          <w:b/>
          <w:bCs/>
          <w:sz w:val="22"/>
          <w:szCs w:val="22"/>
        </w:rPr>
        <w:t xml:space="preserve">1. Можно ли работать по предоплате?</w:t>
      </w:r>
    </w:p>
    <w:p>
      <w:pPr>
        <w:spacing w:after="160"/>
      </w:pPr>
      <w:r>
        <w:t xml:space="preserve">Да. Для новых поставщиков и крупных партий возможна предоплата. Условия обсуждаются индивидуально.</w:t>
      </w:r>
    </w:p>
    <w:p>
      <w:pPr>
        <w:spacing w:after="60" w:before="80"/>
      </w:pPr>
      <w:r>
        <w:rPr>
          <w:b/>
          <w:bCs/>
          <w:sz w:val="22"/>
          <w:szCs w:val="22"/>
        </w:rPr>
        <w:t xml:space="preserve">2. Какой минимальный объём поставки?</w:t>
      </w:r>
    </w:p>
    <w:p>
      <w:pPr>
        <w:spacing w:after="160"/>
      </w:pPr>
      <w:r>
        <w:t xml:space="preserve">Минимальный объём зависит от конкретной позиции и согласовывается отдельно. Мы работаем как с крупными, так и с небольшими поставками.</w:t>
      </w:r>
    </w:p>
    <w:p>
      <w:pPr>
        <w:spacing w:after="60" w:before="80"/>
      </w:pPr>
      <w:r>
        <w:rPr>
          <w:b/>
          <w:bCs/>
          <w:sz w:val="22"/>
          <w:szCs w:val="22"/>
        </w:rPr>
        <w:t xml:space="preserve">3. Как быстро начинается сотрудничество после одобрения?</w:t>
      </w:r>
    </w:p>
    <w:p>
      <w:pPr>
        <w:spacing w:after="160"/>
      </w:pPr>
      <w:r>
        <w:t xml:space="preserve">После согласования условий и подписания договора — в среднем 7–14 дней.</w:t>
      </w:r>
    </w:p>
    <w:p>
      <w:pPr>
        <w:spacing w:after="60" w:before="80"/>
      </w:pPr>
      <w:r>
        <w:rPr>
          <w:b/>
          <w:bCs/>
          <w:sz w:val="22"/>
          <w:szCs w:val="22"/>
        </w:rPr>
        <w:t xml:space="preserve">4. Возможны ли долгосрочные контракты?</w:t>
      </w:r>
    </w:p>
    <w:p>
      <w:pPr>
        <w:spacing w:after="160"/>
      </w:pPr>
      <w:r>
        <w:t xml:space="preserve">Да. Мы заинтересованы в долгосрочном партнёрстве и готовы заключать рамочные договоры на 1–3 года.</w:t>
      </w:r>
    </w:p>
    <w:p>
      <w:pPr>
        <w:spacing w:after="60" w:before="80"/>
      </w:pPr>
      <w:r>
        <w:rPr>
          <w:b/>
          <w:bCs/>
          <w:sz w:val="22"/>
          <w:szCs w:val="22"/>
        </w:rPr>
        <w:t xml:space="preserve">5. Что делать при обнаружении брака?</w:t>
      </w:r>
    </w:p>
    <w:p>
      <w:pPr>
        <w:spacing w:after="200"/>
      </w:pPr>
      <w:r>
        <w:t xml:space="preserve">Мы оперативно уведомляем поставщика. Замена брака или компенсация производится в сроки, указанные в договоре.</w:t>
      </w:r>
    </w:p>
    <w:p>
      <w:pPr>
        <w:pStyle w:val="Heading1"/>
      </w:pPr>
      <w:r>
        <w:t xml:space="preserve">Готовы к сотрудничеству?</w:t>
      </w:r>
    </w:p>
    <w:p>
      <w:pPr>
        <w:spacing w:after="120"/>
      </w:pPr>
      <w:r>
        <w:t xml:space="preserve">Заполните форму на сайте или свяжитесь с отделом закупок. Мы оперативно рассмотрим ваше предложение.</w:t>
      </w:r>
    </w:p>
    <w:p>
      <w:pPr>
        <w:spacing w:after="80"/>
      </w:pPr>
      <w:r>
        <w:rPr>
          <w:b/>
          <w:bCs/>
        </w:rPr>
        <w:t xml:space="preserve">Телефон: </w:t>
      </w:r>
      <w:r>
        <w:t xml:space="preserve">8 (914) 543-48-88</w:t>
      </w:r>
    </w:p>
    <w:p>
      <w:pPr>
        <w:spacing w:after="200"/>
      </w:pPr>
      <w:r>
        <w:rPr>
          <w:b/>
          <w:bCs/>
        </w:rPr>
        <w:t xml:space="preserve">Компания: </w:t>
      </w:r>
      <w:r>
        <w:t xml:space="preserve">ООО «Энергоальянс ДВ»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6" w:space="8"/>
      </w:pBdr>
      <w:spacing w:before="100"/>
      <w:jc w:val="center"/>
    </w:pPr>
    <w:r>
      <w:rPr>
        <w:rFonts w:ascii="Arial" w:cs="Arial" w:eastAsia="Arial" w:hAnsi="Arial"/>
        <w:color w:val="888888"/>
        <w:sz w:val="16"/>
        <w:szCs w:val="16"/>
      </w:rPr>
      <w:t xml:space="preserve">ООО «Энергоальянс ДВ»  •  8 (914) 543-48-88  •  Страница </w:t>
    </w:r>
    <w:r>
      <w:rPr>
        <w:rFonts w:ascii="Arial" w:cs="Arial" w:eastAsia="Arial" w:hAnsi="Arial"/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B3A5F" w:sz="12" w:space="8"/>
      </w:pBdr>
      <w:spacing w:after="200"/>
    </w:pPr>
    <w:r>
      <w:rPr>
        <w:rFonts w:ascii="Arial" w:cs="Arial" w:eastAsia="Arial" w:hAnsi="Arial"/>
        <w:b/>
        <w:bCs/>
        <w:color w:val="1B3A5F"/>
        <w:sz w:val="18"/>
        <w:szCs w:val="18"/>
      </w:rPr>
      <w:t xml:space="preserve">ЭНЕРГОАЛЬЯНС ДВ</w:t>
    </w:r>
    <w:r>
      <w:rPr>
        <w:rFonts w:ascii="Arial" w:cs="Arial" w:eastAsia="Arial" w:hAnsi="Arial"/>
        <w:color w:val="666666"/>
        <w:sz w:val="18"/>
        <w:szCs w:val="18"/>
      </w:rPr>
      <w:t xml:space="preserve">  |  Поставщикам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A1A2E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280"/>
      <w:outlineLvl w:val="1"/>
    </w:pPr>
    <w:rPr>
      <w:rFonts w:ascii="Arial" w:cs="Arial" w:eastAsia="Arial" w:hAnsi="Arial"/>
      <w:b/>
      <w:bCs/>
      <w:color w:val="1B3A5F"/>
      <w:sz w:val="26"/>
      <w:szCs w:val="26"/>
    </w:rPr>
  </w:style>
  <w:style w:type="paragraph" w:styleId="Title">
    <w:name w:val="Title"/>
    <w:basedOn w:val="Normal"/>
    <w:qFormat/>
    <w:pPr>
      <w:spacing w:after="120" w:before="0"/>
      <w:jc w:val="center"/>
    </w:pPr>
    <w:rPr>
      <w:rFonts w:ascii="Arial" w:cs="Arial" w:eastAsia="Arial" w:hAnsi="Arial"/>
      <w:b/>
      <w:bCs/>
      <w:color w:val="1A1A2E"/>
      <w:sz w:val="44"/>
      <w:szCs w:val="4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2026-08-16T18:12:37.358Z</dcterms:created>
  <dcterms:modified xsi:type="dcterms:W3CDTF">2026-08-16T18:12:37.358Z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